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4B" w:rsidRPr="0016034B" w:rsidRDefault="0016034B" w:rsidP="0016034B">
      <w:pPr>
        <w:jc w:val="center"/>
        <w:rPr>
          <w:b/>
          <w:sz w:val="28"/>
          <w:szCs w:val="28"/>
        </w:rPr>
      </w:pPr>
      <w:r w:rsidRPr="0016034B">
        <w:rPr>
          <w:b/>
          <w:sz w:val="28"/>
          <w:szCs w:val="28"/>
        </w:rPr>
        <w:t>Wells Branch Community Library District</w:t>
      </w:r>
    </w:p>
    <w:p w:rsidR="0016034B" w:rsidRPr="0016034B" w:rsidRDefault="0016034B" w:rsidP="0016034B">
      <w:pPr>
        <w:jc w:val="center"/>
        <w:rPr>
          <w:b/>
          <w:sz w:val="28"/>
          <w:szCs w:val="28"/>
        </w:rPr>
      </w:pPr>
      <w:r w:rsidRPr="0016034B">
        <w:rPr>
          <w:b/>
          <w:sz w:val="28"/>
          <w:szCs w:val="28"/>
        </w:rPr>
        <w:t>LAB Policy</w:t>
      </w:r>
    </w:p>
    <w:p w:rsidR="007A6E8B" w:rsidRDefault="007A6E8B">
      <w:r>
        <w:t xml:space="preserve">The Wells Branch Community Library Learn and Build (LAB) is open during specified hours to adult patrons in good standing who have satisfactorily completed safety and operation training for the equipment they chose to use.  Before using the LAB, patrons will be required to show </w:t>
      </w:r>
      <w:r w:rsidR="0006418F">
        <w:t>their valid WBCL library card</w:t>
      </w:r>
      <w:r>
        <w:t xml:space="preserve"> and sign a release of liability statement.  </w:t>
      </w:r>
    </w:p>
    <w:p w:rsidR="006E19DE" w:rsidRDefault="007A6E8B" w:rsidP="006E19DE">
      <w:r>
        <w:t>Use of the space and availability of equipment is not guaranteed</w:t>
      </w:r>
      <w:r w:rsidR="0006418F">
        <w:t xml:space="preserve"> and is limited to 12 persons per employee</w:t>
      </w:r>
      <w:r>
        <w:t xml:space="preserve">.  </w:t>
      </w:r>
      <w:r w:rsidR="006E19DE">
        <w:t xml:space="preserve">Users will be limited to one hour of use of any piece of equipment if another authorized user is waiting.  </w:t>
      </w:r>
      <w:r w:rsidR="00A43D84">
        <w:t xml:space="preserve">The library may close the LAB during scheduled hours for any reason.  </w:t>
      </w:r>
    </w:p>
    <w:p w:rsidR="00D32956" w:rsidRDefault="00D32956">
      <w:r>
        <w:t xml:space="preserve">Food and drink are not allowed in the LAB.  </w:t>
      </w:r>
      <w:r w:rsidR="006E19DE">
        <w:t xml:space="preserve">Cell phones may be used in the hallway, but not the LAB.  </w:t>
      </w:r>
      <w:r w:rsidR="0029755A">
        <w:t xml:space="preserve">Headphones cannot be worn.  </w:t>
      </w:r>
    </w:p>
    <w:p w:rsidR="007A6E8B" w:rsidRDefault="007A6E8B">
      <w:r>
        <w:t>Users are expected to provide their own consumable items</w:t>
      </w:r>
      <w:r w:rsidR="0006418F">
        <w:t xml:space="preserve"> during open workshop hours</w:t>
      </w:r>
      <w:r>
        <w:t xml:space="preserve">.  </w:t>
      </w:r>
    </w:p>
    <w:p w:rsidR="007A6E8B" w:rsidRDefault="007A6E8B">
      <w:r>
        <w:t xml:space="preserve">Persons under the age of 18 or untrained in the proper use of the equipment may not enter the LAB during open hours.  </w:t>
      </w:r>
      <w:r w:rsidR="00A43D84">
        <w:t xml:space="preserve"> Adults may not leave children unattended on library property while using the LAB.  </w:t>
      </w:r>
    </w:p>
    <w:p w:rsidR="00A43D84" w:rsidRDefault="007A6E8B">
      <w:r>
        <w:t xml:space="preserve">Staff can give basic assistance, but will not be available to train or teach during open hours.   Regularly scheduled workshops are offered for training on specific equipment.  Appointments for individual training may be available on a case-by-case basis.  At no time will staff leave other library duties, including LAB monitoring, to provide training.  </w:t>
      </w:r>
    </w:p>
    <w:p w:rsidR="00D32956" w:rsidRDefault="00D32956">
      <w:r>
        <w:t xml:space="preserve">Patrons may only use the equipment on which they have been trained and authorized by library personnel.  This information is maintained in the library’s membership records and will not be amended during LAB hours.  </w:t>
      </w:r>
      <w:r w:rsidR="00A43D84">
        <w:t xml:space="preserve">Staff may require a patron to retrain on equipment at any time.  </w:t>
      </w:r>
    </w:p>
    <w:p w:rsidR="00DB1A5F" w:rsidRDefault="00DB1A5F">
      <w:r>
        <w:t>The library is not responsible for damage to personal items brought into the LAB.</w:t>
      </w:r>
      <w:r w:rsidR="006E19DE">
        <w:t xml:space="preserve">  The WBCL and LAB make no warranty as to the value</w:t>
      </w:r>
      <w:r w:rsidR="00A43D84">
        <w:t xml:space="preserve"> or fitness of any items mad</w:t>
      </w:r>
      <w:r w:rsidR="006E19DE">
        <w:t>e with the available equipment.  It is also incumbent upon the user to follow all laws concerning copyright and patent.</w:t>
      </w:r>
    </w:p>
    <w:p w:rsidR="0029755A" w:rsidRDefault="0029755A" w:rsidP="0029755A">
      <w:r>
        <w:t xml:space="preserve">Patrons agree to assume all risks, known and unknown, stemming from use of the LAB and equipment use on behalf of themselves and any other interested parties.  They agree to hold harmless and indemnify the Wells Branch Community Library and all associates and stakeholders from any and all claims and causes of action that may arise from use of the LAB.  </w:t>
      </w:r>
    </w:p>
    <w:p w:rsidR="00DB1A5F" w:rsidRDefault="00DB1A5F">
      <w:r>
        <w:t xml:space="preserve">Patrons must complete work and clean up before the LAB hours end.  Failure to do so will suspend or terminate privileges.  </w:t>
      </w:r>
    </w:p>
    <w:p w:rsidR="007A6E8B" w:rsidRDefault="007A6E8B">
      <w:r>
        <w:br w:type="page"/>
      </w:r>
    </w:p>
    <w:p w:rsidR="0016034B" w:rsidRPr="0016034B" w:rsidRDefault="0016034B" w:rsidP="0016034B">
      <w:pPr>
        <w:jc w:val="center"/>
        <w:rPr>
          <w:b/>
          <w:sz w:val="28"/>
          <w:szCs w:val="28"/>
        </w:rPr>
      </w:pPr>
      <w:r w:rsidRPr="0016034B">
        <w:rPr>
          <w:b/>
          <w:sz w:val="28"/>
          <w:szCs w:val="28"/>
        </w:rPr>
        <w:lastRenderedPageBreak/>
        <w:t>Wells Branch Community Library</w:t>
      </w:r>
    </w:p>
    <w:p w:rsidR="0016034B" w:rsidRPr="0016034B" w:rsidRDefault="0016034B" w:rsidP="0016034B">
      <w:pPr>
        <w:jc w:val="center"/>
        <w:rPr>
          <w:b/>
          <w:sz w:val="28"/>
          <w:szCs w:val="28"/>
        </w:rPr>
      </w:pPr>
      <w:r w:rsidRPr="0016034B">
        <w:rPr>
          <w:b/>
          <w:sz w:val="28"/>
          <w:szCs w:val="28"/>
        </w:rPr>
        <w:t xml:space="preserve">LAB </w:t>
      </w:r>
      <w:r>
        <w:rPr>
          <w:b/>
          <w:sz w:val="28"/>
          <w:szCs w:val="28"/>
        </w:rPr>
        <w:t xml:space="preserve">User </w:t>
      </w:r>
      <w:r w:rsidRPr="0016034B">
        <w:rPr>
          <w:b/>
          <w:sz w:val="28"/>
          <w:szCs w:val="28"/>
        </w:rPr>
        <w:t>Agreement</w:t>
      </w:r>
    </w:p>
    <w:p w:rsidR="007A6E8B" w:rsidRDefault="00D32956">
      <w:r>
        <w:t>By signing below, I agree that:</w:t>
      </w:r>
    </w:p>
    <w:p w:rsidR="00D32956" w:rsidRDefault="00D32956" w:rsidP="0029755A">
      <w:pPr>
        <w:pStyle w:val="ListParagraph"/>
        <w:numPr>
          <w:ilvl w:val="0"/>
          <w:numId w:val="1"/>
        </w:numPr>
      </w:pPr>
      <w:r>
        <w:t>I am adequately trained in the safe operation of the equipment I will be using</w:t>
      </w:r>
      <w:r w:rsidR="006E19DE">
        <w:t xml:space="preserve">.  </w:t>
      </w:r>
    </w:p>
    <w:p w:rsidR="00D32956" w:rsidRDefault="00D32956" w:rsidP="0029755A">
      <w:pPr>
        <w:pStyle w:val="ListParagraph"/>
        <w:numPr>
          <w:ilvl w:val="0"/>
          <w:numId w:val="1"/>
        </w:numPr>
      </w:pPr>
      <w:r>
        <w:t>I have read and will abide by all WBCLD policies, including the LAB Policy.</w:t>
      </w:r>
    </w:p>
    <w:p w:rsidR="00D32956" w:rsidRDefault="00D32956" w:rsidP="0029755A">
      <w:pPr>
        <w:pStyle w:val="ListParagraph"/>
        <w:numPr>
          <w:ilvl w:val="0"/>
          <w:numId w:val="1"/>
        </w:numPr>
      </w:pPr>
      <w:r>
        <w:t>I will be responsible to pay any charges or fees for damage, loss, or clean-up to the space or equipment I use.</w:t>
      </w:r>
    </w:p>
    <w:p w:rsidR="006E19DE" w:rsidRDefault="006E19DE" w:rsidP="0029755A">
      <w:pPr>
        <w:pStyle w:val="ListParagraph"/>
        <w:numPr>
          <w:ilvl w:val="0"/>
          <w:numId w:val="1"/>
        </w:numPr>
      </w:pPr>
      <w:r>
        <w:t xml:space="preserve">I will alert staff immediately of any safety issues or disrepair I notice.  </w:t>
      </w:r>
    </w:p>
    <w:p w:rsidR="0029755A" w:rsidRDefault="00D32956" w:rsidP="0029755A">
      <w:pPr>
        <w:pStyle w:val="ListParagraph"/>
        <w:numPr>
          <w:ilvl w:val="0"/>
          <w:numId w:val="1"/>
        </w:numPr>
      </w:pPr>
      <w:r>
        <w:t xml:space="preserve">I will wear appropriate safety gear and clothing for use.  </w:t>
      </w:r>
    </w:p>
    <w:p w:rsidR="00D32956" w:rsidRDefault="00D32956" w:rsidP="0029755A">
      <w:pPr>
        <w:pStyle w:val="ListParagraph"/>
        <w:numPr>
          <w:ilvl w:val="0"/>
          <w:numId w:val="1"/>
        </w:numPr>
      </w:pPr>
      <w:r>
        <w:t xml:space="preserve">I understand that there are risks, known and unknown, to equipment use and assume those risks on behalf of myself and </w:t>
      </w:r>
      <w:r w:rsidR="00A43D84">
        <w:t xml:space="preserve">any </w:t>
      </w:r>
      <w:r>
        <w:t>other interested parties.  I agree to hold harmless and indemnify the Wells Branch Community Library and all associates and stakeholders from any and all claims and causes of action that may arise from use of the LAB.</w:t>
      </w:r>
    </w:p>
    <w:p w:rsidR="006E19DE" w:rsidRDefault="006E19DE" w:rsidP="0029755A">
      <w:pPr>
        <w:pStyle w:val="ListParagraph"/>
        <w:numPr>
          <w:ilvl w:val="0"/>
          <w:numId w:val="1"/>
        </w:numPr>
      </w:pPr>
      <w:r>
        <w:t>If I become injured or ill during use, I authorize WBCL to conse</w:t>
      </w:r>
      <w:r w:rsidR="0006418F">
        <w:t xml:space="preserve">nt to medical care on my behalf.  I </w:t>
      </w:r>
      <w:r>
        <w:t xml:space="preserve">agree to pay all costs associated with </w:t>
      </w:r>
      <w:r w:rsidR="0006418F">
        <w:t>treatment</w:t>
      </w:r>
      <w:r>
        <w:t xml:space="preserve">.  </w:t>
      </w:r>
    </w:p>
    <w:tbl>
      <w:tblPr>
        <w:tblStyle w:val="TableGrid"/>
        <w:tblW w:w="10188" w:type="dxa"/>
        <w:tblLook w:val="04A0" w:firstRow="1" w:lastRow="0" w:firstColumn="1" w:lastColumn="0" w:noHBand="0" w:noVBand="1"/>
      </w:tblPr>
      <w:tblGrid>
        <w:gridCol w:w="862"/>
        <w:gridCol w:w="2140"/>
        <w:gridCol w:w="901"/>
        <w:gridCol w:w="2775"/>
        <w:gridCol w:w="2520"/>
        <w:gridCol w:w="990"/>
      </w:tblGrid>
      <w:tr w:rsidR="007A6E8B" w:rsidTr="00A43D84">
        <w:trPr>
          <w:trHeight w:val="751"/>
        </w:trPr>
        <w:tc>
          <w:tcPr>
            <w:tcW w:w="862" w:type="dxa"/>
          </w:tcPr>
          <w:p w:rsidR="007A6E8B" w:rsidRDefault="007A6E8B">
            <w:r>
              <w:t>Date</w:t>
            </w:r>
          </w:p>
        </w:tc>
        <w:tc>
          <w:tcPr>
            <w:tcW w:w="2140" w:type="dxa"/>
          </w:tcPr>
          <w:p w:rsidR="007A6E8B" w:rsidRDefault="007A6E8B">
            <w:r>
              <w:t>Name</w:t>
            </w:r>
          </w:p>
        </w:tc>
        <w:tc>
          <w:tcPr>
            <w:tcW w:w="901" w:type="dxa"/>
          </w:tcPr>
          <w:p w:rsidR="007A6E8B" w:rsidRDefault="007A6E8B">
            <w:r>
              <w:t>WBCL #</w:t>
            </w:r>
          </w:p>
        </w:tc>
        <w:tc>
          <w:tcPr>
            <w:tcW w:w="2775" w:type="dxa"/>
          </w:tcPr>
          <w:p w:rsidR="007A6E8B" w:rsidRDefault="007A6E8B">
            <w:r>
              <w:t>Signature</w:t>
            </w:r>
          </w:p>
        </w:tc>
        <w:tc>
          <w:tcPr>
            <w:tcW w:w="2520" w:type="dxa"/>
          </w:tcPr>
          <w:p w:rsidR="007A6E8B" w:rsidRDefault="00A43D84">
            <w:r>
              <w:t>Emergency Contact</w:t>
            </w:r>
          </w:p>
        </w:tc>
        <w:tc>
          <w:tcPr>
            <w:tcW w:w="990" w:type="dxa"/>
          </w:tcPr>
          <w:p w:rsidR="007A6E8B" w:rsidRDefault="007A6E8B" w:rsidP="00A43D84">
            <w:r>
              <w:t xml:space="preserve">Staff </w:t>
            </w:r>
          </w:p>
        </w:tc>
      </w:tr>
      <w:tr w:rsidR="007A6E8B" w:rsidTr="00A43D84">
        <w:trPr>
          <w:trHeight w:val="795"/>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95"/>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51"/>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95"/>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51"/>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95"/>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r w:rsidR="007A6E8B" w:rsidTr="00A43D84">
        <w:trPr>
          <w:trHeight w:val="795"/>
        </w:trPr>
        <w:tc>
          <w:tcPr>
            <w:tcW w:w="862" w:type="dxa"/>
          </w:tcPr>
          <w:p w:rsidR="007A6E8B" w:rsidRDefault="007A6E8B"/>
        </w:tc>
        <w:tc>
          <w:tcPr>
            <w:tcW w:w="2140" w:type="dxa"/>
          </w:tcPr>
          <w:p w:rsidR="007A6E8B" w:rsidRDefault="007A6E8B"/>
        </w:tc>
        <w:tc>
          <w:tcPr>
            <w:tcW w:w="901" w:type="dxa"/>
          </w:tcPr>
          <w:p w:rsidR="007A6E8B" w:rsidRDefault="007A6E8B"/>
        </w:tc>
        <w:tc>
          <w:tcPr>
            <w:tcW w:w="2775" w:type="dxa"/>
          </w:tcPr>
          <w:p w:rsidR="007A6E8B" w:rsidRDefault="007A6E8B"/>
        </w:tc>
        <w:tc>
          <w:tcPr>
            <w:tcW w:w="2520" w:type="dxa"/>
          </w:tcPr>
          <w:p w:rsidR="007A6E8B" w:rsidRDefault="007A6E8B"/>
        </w:tc>
        <w:tc>
          <w:tcPr>
            <w:tcW w:w="990" w:type="dxa"/>
          </w:tcPr>
          <w:p w:rsidR="007A6E8B" w:rsidRDefault="007A6E8B"/>
        </w:tc>
      </w:tr>
    </w:tbl>
    <w:p w:rsidR="00D32956" w:rsidRDefault="00D32956"/>
    <w:sectPr w:rsidR="00D329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4B" w:rsidRDefault="0016034B" w:rsidP="0016034B">
      <w:pPr>
        <w:spacing w:after="0" w:line="240" w:lineRule="auto"/>
      </w:pPr>
      <w:r>
        <w:separator/>
      </w:r>
    </w:p>
  </w:endnote>
  <w:endnote w:type="continuationSeparator" w:id="0">
    <w:p w:rsidR="0016034B" w:rsidRDefault="0016034B" w:rsidP="0016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93" w:rsidRDefault="007D54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4B" w:rsidRDefault="0016034B">
    <w:pPr>
      <w:pStyle w:val="Footer"/>
    </w:pPr>
    <w:bookmarkStart w:id="0" w:name="_GoBack"/>
    <w:bookmarkEnd w:id="0"/>
    <w:r>
      <w:t xml:space="preserve"> October 2017</w:t>
    </w:r>
  </w:p>
  <w:p w:rsidR="0016034B" w:rsidRDefault="001603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93" w:rsidRDefault="007D54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4B" w:rsidRDefault="0016034B" w:rsidP="0016034B">
      <w:pPr>
        <w:spacing w:after="0" w:line="240" w:lineRule="auto"/>
      </w:pPr>
      <w:r>
        <w:separator/>
      </w:r>
    </w:p>
  </w:footnote>
  <w:footnote w:type="continuationSeparator" w:id="0">
    <w:p w:rsidR="0016034B" w:rsidRDefault="0016034B" w:rsidP="0016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93" w:rsidRDefault="007D54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93" w:rsidRDefault="007D54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93" w:rsidRDefault="007D54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F7EF4"/>
    <w:multiLevelType w:val="hybridMultilevel"/>
    <w:tmpl w:val="5D1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8B"/>
    <w:rsid w:val="0006418F"/>
    <w:rsid w:val="0016034B"/>
    <w:rsid w:val="0029755A"/>
    <w:rsid w:val="006E19DE"/>
    <w:rsid w:val="007A6E8B"/>
    <w:rsid w:val="007D5493"/>
    <w:rsid w:val="00836DBD"/>
    <w:rsid w:val="00A43D84"/>
    <w:rsid w:val="00D23F5D"/>
    <w:rsid w:val="00D32956"/>
    <w:rsid w:val="00DB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A6A92-0AB3-46C7-9457-BBAA00AA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55A"/>
    <w:pPr>
      <w:ind w:left="720"/>
      <w:contextualSpacing/>
    </w:pPr>
  </w:style>
  <w:style w:type="paragraph" w:styleId="Header">
    <w:name w:val="header"/>
    <w:basedOn w:val="Normal"/>
    <w:link w:val="HeaderChar"/>
    <w:uiPriority w:val="99"/>
    <w:unhideWhenUsed/>
    <w:rsid w:val="0016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4B"/>
  </w:style>
  <w:style w:type="paragraph" w:styleId="Footer">
    <w:name w:val="footer"/>
    <w:basedOn w:val="Normal"/>
    <w:link w:val="FooterChar"/>
    <w:uiPriority w:val="99"/>
    <w:unhideWhenUsed/>
    <w:rsid w:val="00160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4B"/>
  </w:style>
  <w:style w:type="paragraph" w:styleId="BalloonText">
    <w:name w:val="Balloon Text"/>
    <w:basedOn w:val="Normal"/>
    <w:link w:val="BalloonTextChar"/>
    <w:uiPriority w:val="99"/>
    <w:semiHidden/>
    <w:unhideWhenUsed/>
    <w:rsid w:val="00160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DB43-E53D-401B-B763-DB3E6B82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Donita Ward</dc:creator>
  <cp:lastModifiedBy>Staff</cp:lastModifiedBy>
  <cp:revision>4</cp:revision>
  <cp:lastPrinted>2017-10-03T16:37:00Z</cp:lastPrinted>
  <dcterms:created xsi:type="dcterms:W3CDTF">2017-10-03T15:35:00Z</dcterms:created>
  <dcterms:modified xsi:type="dcterms:W3CDTF">2022-09-25T17:29:00Z</dcterms:modified>
</cp:coreProperties>
</file>